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32" w:rsidRPr="00D0645D" w:rsidRDefault="00726032" w:rsidP="00726032">
      <w:pPr>
        <w:spacing w:before="120" w:after="120"/>
        <w:jc w:val="right"/>
        <w:rPr>
          <w:b/>
          <w:sz w:val="28"/>
          <w:szCs w:val="28"/>
        </w:rPr>
      </w:pPr>
      <w:r w:rsidRPr="00D0645D">
        <w:rPr>
          <w:b/>
          <w:sz w:val="28"/>
          <w:szCs w:val="28"/>
        </w:rPr>
        <w:t>FOR IMMEDIATE RELEASE</w:t>
      </w:r>
    </w:p>
    <w:p w:rsidR="00263B51" w:rsidRPr="00640F15" w:rsidRDefault="00640F15" w:rsidP="00726032">
      <w:pPr>
        <w:pStyle w:val="Title"/>
        <w:spacing w:before="240" w:after="120"/>
        <w:ind w:left="0"/>
        <w:rPr>
          <w:rFonts w:ascii="Arial" w:hAnsi="Arial" w:cs="Arial"/>
          <w:color w:val="0070C0"/>
          <w:sz w:val="52"/>
          <w:szCs w:val="52"/>
        </w:rPr>
      </w:pPr>
      <w:r>
        <w:rPr>
          <w:rFonts w:ascii="Arial" w:hAnsi="Arial" w:cs="Arial"/>
          <w:color w:val="0070C0"/>
          <w:sz w:val="52"/>
          <w:szCs w:val="52"/>
        </w:rPr>
        <w:t>Press Release</w:t>
      </w:r>
    </w:p>
    <w:p w:rsidR="00640F15" w:rsidRDefault="00640F15" w:rsidP="00DD70C4">
      <w:pPr>
        <w:spacing w:before="120" w:after="120"/>
      </w:pPr>
    </w:p>
    <w:sdt>
      <w:sdtPr>
        <w:rPr>
          <w:b/>
          <w:sz w:val="36"/>
          <w:szCs w:val="36"/>
        </w:rPr>
        <w:id w:val="-377397888"/>
        <w:placeholder>
          <w:docPart w:val="1801EEB18C5342879033473521AB7E94"/>
        </w:placeholder>
      </w:sdtPr>
      <w:sdtEndPr/>
      <w:sdtContent>
        <w:p w:rsidR="00640F15" w:rsidRDefault="00CE1019" w:rsidP="00640F15">
          <w:pPr>
            <w:spacing w:after="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Financial Act of 2014/15</w:t>
          </w:r>
          <w:r w:rsidR="00714CA2">
            <w:rPr>
              <w:b/>
              <w:sz w:val="36"/>
              <w:szCs w:val="36"/>
            </w:rPr>
            <w:t xml:space="preserve"> </w:t>
          </w:r>
          <w:r w:rsidR="006D5518">
            <w:rPr>
              <w:b/>
              <w:sz w:val="36"/>
              <w:szCs w:val="36"/>
            </w:rPr>
            <w:t>revises</w:t>
          </w:r>
          <w:r w:rsidR="00714CA2">
            <w:rPr>
              <w:b/>
              <w:sz w:val="36"/>
              <w:szCs w:val="36"/>
            </w:rPr>
            <w:t xml:space="preserve"> </w:t>
          </w:r>
          <w:r w:rsidR="00F24EBD">
            <w:rPr>
              <w:b/>
              <w:sz w:val="36"/>
              <w:szCs w:val="36"/>
            </w:rPr>
            <w:t>e</w:t>
          </w:r>
          <w:r w:rsidR="00714CA2">
            <w:rPr>
              <w:b/>
              <w:sz w:val="36"/>
              <w:szCs w:val="36"/>
            </w:rPr>
            <w:t xml:space="preserve">xcise </w:t>
          </w:r>
          <w:r>
            <w:rPr>
              <w:b/>
              <w:sz w:val="36"/>
              <w:szCs w:val="36"/>
            </w:rPr>
            <w:t>tax rates, business profits tax rates, and Advance Income Tax Rates</w:t>
          </w:r>
          <w:r w:rsidR="00714CA2">
            <w:rPr>
              <w:b/>
              <w:sz w:val="36"/>
              <w:szCs w:val="36"/>
            </w:rPr>
            <w:t xml:space="preserve"> </w:t>
          </w:r>
        </w:p>
      </w:sdtContent>
    </w:sdt>
    <w:p w:rsidR="0080025B" w:rsidRDefault="0080025B" w:rsidP="00640F15">
      <w:pPr>
        <w:spacing w:after="0"/>
        <w:rPr>
          <w:b/>
          <w:sz w:val="36"/>
          <w:szCs w:val="36"/>
        </w:rPr>
      </w:pPr>
    </w:p>
    <w:sdt>
      <w:sdtPr>
        <w:rPr>
          <w:sz w:val="24"/>
        </w:rPr>
        <w:id w:val="1817451427"/>
        <w:placeholder>
          <w:docPart w:val="1801EEB18C5342879033473521AB7E94"/>
        </w:placeholder>
      </w:sdtPr>
      <w:sdtEndPr>
        <w:rPr>
          <w:sz w:val="22"/>
        </w:rPr>
      </w:sdtEndPr>
      <w:sdtContent>
        <w:p w:rsidR="00CE1019" w:rsidRDefault="00847895" w:rsidP="00714CA2">
          <w:pPr>
            <w:spacing w:after="120"/>
          </w:pPr>
          <w:r>
            <w:t xml:space="preserve">JUBA, </w:t>
          </w:r>
          <w:r w:rsidR="007C5D08">
            <w:t>21</w:t>
          </w:r>
          <w:r w:rsidR="00CE1019">
            <w:t xml:space="preserve"> </w:t>
          </w:r>
          <w:r w:rsidR="007C5D08">
            <w:t>March</w:t>
          </w:r>
          <w:r w:rsidR="00CE1019">
            <w:t xml:space="preserve"> 2016</w:t>
          </w:r>
          <w:r w:rsidR="00640F15" w:rsidRPr="00726032">
            <w:t xml:space="preserve"> </w:t>
          </w:r>
          <w:r w:rsidR="00714CA2">
            <w:t xml:space="preserve">– The </w:t>
          </w:r>
          <w:r w:rsidR="00CE1019">
            <w:t>Financial Act 2014/2015 (Financial Act)</w:t>
          </w:r>
          <w:r w:rsidR="00714CA2">
            <w:t xml:space="preserve"> was signed into law on </w:t>
          </w:r>
          <w:r w:rsidR="00CE1019">
            <w:t>10 Decembe</w:t>
          </w:r>
          <w:r w:rsidR="000B2CA4">
            <w:t>r 2015</w:t>
          </w:r>
          <w:r w:rsidR="00E9257D">
            <w:t xml:space="preserve">.  </w:t>
          </w:r>
          <w:r w:rsidR="00A03DF1">
            <w:t xml:space="preserve">The </w:t>
          </w:r>
          <w:r w:rsidR="00CE1019">
            <w:t>Financial Act</w:t>
          </w:r>
          <w:r w:rsidR="003D3E41">
            <w:t xml:space="preserve"> includes provisions for </w:t>
          </w:r>
          <w:r w:rsidR="00CE1019">
            <w:t xml:space="preserve">revisions to Business Profits Tax rates, revisions to the Advance Income Tax Rates imposed on imported goods, and </w:t>
          </w:r>
          <w:r w:rsidR="00F24EBD">
            <w:t xml:space="preserve">revisions to the </w:t>
          </w:r>
          <w:r w:rsidR="005062A5">
            <w:t>e</w:t>
          </w:r>
          <w:r w:rsidR="00F24EBD">
            <w:t xml:space="preserve">xcise </w:t>
          </w:r>
          <w:r w:rsidR="005062A5">
            <w:t>t</w:t>
          </w:r>
          <w:r w:rsidR="00F24EBD">
            <w:t>ax schedules</w:t>
          </w:r>
          <w:r w:rsidR="00CE1019">
            <w:t>.</w:t>
          </w:r>
        </w:p>
        <w:p w:rsidR="00CE1019" w:rsidRDefault="00CE1019" w:rsidP="00714CA2">
          <w:pPr>
            <w:spacing w:after="120"/>
          </w:pPr>
          <w:r>
            <w:t>Business Profits Tax rates and thresholds are revised as follows: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862"/>
            <w:gridCol w:w="2488"/>
          </w:tblGrid>
          <w:tr w:rsidR="00CE1019" w:rsidTr="00CE1019">
            <w:tc>
              <w:tcPr>
                <w:tcW w:w="7038" w:type="dxa"/>
              </w:tcPr>
              <w:p w:rsidR="00CE1019" w:rsidRDefault="00CE1019" w:rsidP="00714CA2">
                <w:pPr>
                  <w:spacing w:after="120"/>
                </w:pPr>
                <w:r>
                  <w:t>Gross annual turnover from SSP 0 to SSP 1,000,000</w:t>
                </w:r>
              </w:p>
            </w:tc>
            <w:tc>
              <w:tcPr>
                <w:tcW w:w="2538" w:type="dxa"/>
              </w:tcPr>
              <w:p w:rsidR="00CE1019" w:rsidRDefault="00CE1019" w:rsidP="00714CA2">
                <w:pPr>
                  <w:spacing w:after="120"/>
                </w:pPr>
                <w:r>
                  <w:t>10% of taxable income</w:t>
                </w:r>
              </w:p>
            </w:tc>
          </w:tr>
          <w:tr w:rsidR="00CE1019" w:rsidTr="00CE1019">
            <w:tc>
              <w:tcPr>
                <w:tcW w:w="7038" w:type="dxa"/>
              </w:tcPr>
              <w:p w:rsidR="00CE1019" w:rsidRDefault="00A169C8" w:rsidP="00714CA2">
                <w:pPr>
                  <w:spacing w:after="120"/>
                </w:pPr>
                <w:r>
                  <w:t>Gross annual turnover from SSP 1,000,001 to 30,000,000</w:t>
                </w:r>
              </w:p>
            </w:tc>
            <w:tc>
              <w:tcPr>
                <w:tcW w:w="2538" w:type="dxa"/>
              </w:tcPr>
              <w:p w:rsidR="00CE1019" w:rsidRDefault="00A169C8" w:rsidP="00714CA2">
                <w:pPr>
                  <w:spacing w:after="120"/>
                </w:pPr>
                <w:r>
                  <w:t>20% of taxable income</w:t>
                </w:r>
              </w:p>
            </w:tc>
          </w:tr>
          <w:tr w:rsidR="00CE1019" w:rsidTr="00CE1019">
            <w:tc>
              <w:tcPr>
                <w:tcW w:w="7038" w:type="dxa"/>
              </w:tcPr>
              <w:p w:rsidR="00CE1019" w:rsidRDefault="00A169C8" w:rsidP="00714CA2">
                <w:pPr>
                  <w:spacing w:after="120"/>
                </w:pPr>
                <w:r>
                  <w:t>Gross annual turnover from SSP 30,000,001 and up</w:t>
                </w:r>
              </w:p>
            </w:tc>
            <w:tc>
              <w:tcPr>
                <w:tcW w:w="2538" w:type="dxa"/>
              </w:tcPr>
              <w:p w:rsidR="00CE1019" w:rsidRDefault="00A169C8" w:rsidP="00714CA2">
                <w:pPr>
                  <w:spacing w:after="120"/>
                </w:pPr>
                <w:r>
                  <w:t>25% of taxable income</w:t>
                </w:r>
              </w:p>
            </w:tc>
          </w:tr>
        </w:tbl>
        <w:p w:rsidR="00CE1019" w:rsidRDefault="00A169C8" w:rsidP="00714CA2">
          <w:pPr>
            <w:spacing w:after="120"/>
          </w:pPr>
          <w:r>
            <w:t>These revisions apply to Business Profits Tax returns for the tax year 2015 which are due to be filed with the Directorate of Taxation on or before 1 April 2016.</w:t>
          </w:r>
        </w:p>
        <w:p w:rsidR="000B2CA4" w:rsidRDefault="000B2CA4" w:rsidP="00714CA2">
          <w:pPr>
            <w:spacing w:after="120"/>
          </w:pPr>
          <w:r>
            <w:t>Advance Income Tax payable at international borders on imported goods has been revised as follows: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00"/>
            <w:gridCol w:w="4150"/>
          </w:tblGrid>
          <w:tr w:rsidR="000B2CA4" w:rsidTr="000B2CA4">
            <w:tc>
              <w:tcPr>
                <w:tcW w:w="5328" w:type="dxa"/>
              </w:tcPr>
              <w:p w:rsidR="000B2CA4" w:rsidRDefault="000B2CA4" w:rsidP="00714CA2">
                <w:pPr>
                  <w:spacing w:after="120"/>
                </w:pPr>
                <w:r>
                  <w:t>Item subject to tax</w:t>
                </w:r>
              </w:p>
            </w:tc>
            <w:tc>
              <w:tcPr>
                <w:tcW w:w="4248" w:type="dxa"/>
              </w:tcPr>
              <w:p w:rsidR="000B2CA4" w:rsidRDefault="000B2CA4" w:rsidP="00714CA2">
                <w:pPr>
                  <w:spacing w:after="120"/>
                </w:pPr>
                <w:r>
                  <w:t>Tax rate applied to customs value</w:t>
                </w:r>
              </w:p>
            </w:tc>
          </w:tr>
          <w:tr w:rsidR="000B2CA4" w:rsidTr="000B2CA4">
            <w:tc>
              <w:tcPr>
                <w:tcW w:w="5328" w:type="dxa"/>
              </w:tcPr>
              <w:p w:rsidR="000B2CA4" w:rsidRDefault="000B2CA4" w:rsidP="00714CA2">
                <w:pPr>
                  <w:spacing w:after="120"/>
                </w:pPr>
                <w:r>
                  <w:t>All imported food items</w:t>
                </w:r>
              </w:p>
            </w:tc>
            <w:tc>
              <w:tcPr>
                <w:tcW w:w="4248" w:type="dxa"/>
              </w:tcPr>
              <w:p w:rsidR="000B2CA4" w:rsidRDefault="000B2CA4" w:rsidP="00714CA2">
                <w:pPr>
                  <w:spacing w:after="120"/>
                </w:pPr>
                <w:r>
                  <w:t>2%</w:t>
                </w:r>
              </w:p>
            </w:tc>
          </w:tr>
          <w:tr w:rsidR="000B2CA4" w:rsidTr="000B2CA4">
            <w:tc>
              <w:tcPr>
                <w:tcW w:w="5328" w:type="dxa"/>
              </w:tcPr>
              <w:p w:rsidR="000B2CA4" w:rsidRDefault="000B2CA4" w:rsidP="00714CA2">
                <w:pPr>
                  <w:spacing w:after="120"/>
                </w:pPr>
                <w:r>
                  <w:t>All other imported goods</w:t>
                </w:r>
              </w:p>
            </w:tc>
            <w:tc>
              <w:tcPr>
                <w:tcW w:w="4248" w:type="dxa"/>
              </w:tcPr>
              <w:p w:rsidR="000B2CA4" w:rsidRDefault="000B2CA4" w:rsidP="00714CA2">
                <w:pPr>
                  <w:spacing w:after="120"/>
                </w:pPr>
                <w:r>
                  <w:t>4%</w:t>
                </w:r>
              </w:p>
            </w:tc>
          </w:tr>
        </w:tbl>
        <w:p w:rsidR="000B2CA4" w:rsidRDefault="000B2CA4" w:rsidP="00714CA2">
          <w:pPr>
            <w:spacing w:after="120"/>
          </w:pPr>
          <w:r>
            <w:t xml:space="preserve"> </w:t>
          </w:r>
        </w:p>
        <w:p w:rsidR="00545E9E" w:rsidRDefault="00CE1019" w:rsidP="00714CA2">
          <w:pPr>
            <w:spacing w:after="120"/>
            <w:sectPr w:rsidR="00545E9E" w:rsidSect="00545E9E">
              <w:headerReference w:type="default" r:id="rId7"/>
              <w:footerReference w:type="even" r:id="rId8"/>
              <w:footerReference w:type="default" r:id="rId9"/>
              <w:pgSz w:w="12240" w:h="15840"/>
              <w:pgMar w:top="3600" w:right="1440" w:bottom="720" w:left="1440" w:header="288" w:footer="720" w:gutter="0"/>
              <w:cols w:space="720"/>
              <w:titlePg/>
              <w:docGrid w:linePitch="360"/>
            </w:sectPr>
          </w:pPr>
          <w:r>
            <w:t>E</w:t>
          </w:r>
          <w:r w:rsidR="005062A5">
            <w:t>xcise tax schedules</w:t>
          </w:r>
          <w:r w:rsidR="00A169C8">
            <w:t xml:space="preserve"> have been revised</w:t>
          </w:r>
          <w:r w:rsidR="005062A5">
            <w:t xml:space="preserve"> to increase excise rates on alcohol and tobacco products</w:t>
          </w:r>
          <w:r w:rsidR="006D5518">
            <w:t xml:space="preserve"> and</w:t>
          </w:r>
          <w:r w:rsidR="00A169C8">
            <w:t xml:space="preserve"> charter services.  In addition, the maximum excise due on air transportation services has been removed. Excise taxes on alcoholic beverages now range from 50% to 100% of the Customs value.  Excise tax on tobacco products is now 100%.  The excise tax on charter services is now 20%.  These revisions are </w:t>
          </w:r>
          <w:r w:rsidR="000B2CA4">
            <w:t xml:space="preserve">applicable to excise tax returns for the month of </w:t>
          </w:r>
          <w:r w:rsidR="007C5D08">
            <w:t>April 2016</w:t>
          </w:r>
          <w:r w:rsidR="000B2CA4">
            <w:t xml:space="preserve"> which are due to be filed on or before 15 Ma</w:t>
          </w:r>
          <w:r w:rsidR="007C5D08">
            <w:t>y</w:t>
          </w:r>
          <w:r w:rsidR="000B2CA4">
            <w:t xml:space="preserve"> 2016 and all subsequent monthly excise tax returns.</w:t>
          </w:r>
          <w:r w:rsidR="006D5518">
            <w:t xml:space="preserve"> </w:t>
          </w:r>
        </w:p>
        <w:p w:rsidR="00E065D0" w:rsidRDefault="00545E9E" w:rsidP="00C45D9D">
          <w:pPr>
            <w:spacing w:after="120"/>
          </w:pPr>
          <w:r>
            <w:lastRenderedPageBreak/>
            <w:t>Excise Tax Schedule per Financial Act 2014/2015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788"/>
            <w:gridCol w:w="5492"/>
            <w:gridCol w:w="1962"/>
          </w:tblGrid>
          <w:tr w:rsidR="004469A9" w:rsidTr="004469A9">
            <w:tc>
              <w:tcPr>
                <w:tcW w:w="1800" w:type="dxa"/>
              </w:tcPr>
              <w:p w:rsidR="004469A9" w:rsidRPr="004469A9" w:rsidRDefault="004469A9" w:rsidP="00C45D9D">
                <w:pPr>
                  <w:spacing w:after="120"/>
                  <w:rPr>
                    <w:b/>
                  </w:rPr>
                </w:pPr>
                <w:r w:rsidRPr="004469A9">
                  <w:rPr>
                    <w:b/>
                  </w:rPr>
                  <w:t>Harmonized System Code</w:t>
                </w:r>
              </w:p>
            </w:tc>
            <w:tc>
              <w:tcPr>
                <w:tcW w:w="5580" w:type="dxa"/>
              </w:tcPr>
              <w:p w:rsidR="004469A9" w:rsidRPr="004469A9" w:rsidRDefault="004469A9" w:rsidP="00C45D9D">
                <w:pPr>
                  <w:spacing w:after="120"/>
                  <w:rPr>
                    <w:b/>
                  </w:rPr>
                </w:pPr>
                <w:r w:rsidRPr="004469A9">
                  <w:rPr>
                    <w:b/>
                  </w:rPr>
                  <w:t>Article/Service</w:t>
                </w:r>
              </w:p>
            </w:tc>
            <w:tc>
              <w:tcPr>
                <w:tcW w:w="1980" w:type="dxa"/>
              </w:tcPr>
              <w:p w:rsidR="004469A9" w:rsidRPr="004469A9" w:rsidRDefault="004469A9" w:rsidP="00C45D9D">
                <w:pPr>
                  <w:spacing w:after="120"/>
                  <w:rPr>
                    <w:b/>
                  </w:rPr>
                </w:pPr>
                <w:r w:rsidRPr="004469A9">
                  <w:rPr>
                    <w:b/>
                  </w:rPr>
                  <w:t>Rate (expressed as a percentage of the value</w:t>
                </w:r>
                <w:r>
                  <w:rPr>
                    <w:b/>
                  </w:rPr>
                  <w:t xml:space="preserve"> of the good or service</w:t>
                </w:r>
                <w:r w:rsidRPr="004469A9">
                  <w:rPr>
                    <w:b/>
                  </w:rPr>
                  <w:t>)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Pr="00F61736" w:rsidRDefault="00F61736" w:rsidP="00C45D9D">
                <w:pPr>
                  <w:spacing w:after="120"/>
                </w:pPr>
                <w:r>
                  <w:t>2209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>Fruit Juices</w:t>
                </w:r>
              </w:p>
            </w:tc>
            <w:tc>
              <w:tcPr>
                <w:tcW w:w="1980" w:type="dxa"/>
              </w:tcPr>
              <w:p w:rsidR="004469A9" w:rsidRDefault="00F61736" w:rsidP="00C45D9D">
                <w:pPr>
                  <w:spacing w:after="120"/>
                </w:pPr>
                <w:r>
                  <w:t>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1736" w:rsidP="00C45D9D">
                <w:pPr>
                  <w:spacing w:after="120"/>
                </w:pPr>
                <w:r>
                  <w:t>2201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>Waters, including natural or artificial mineral waters</w:t>
                </w:r>
              </w:p>
            </w:tc>
            <w:tc>
              <w:tcPr>
                <w:tcW w:w="1980" w:type="dxa"/>
              </w:tcPr>
              <w:p w:rsidR="004469A9" w:rsidRDefault="00F61736" w:rsidP="00C45D9D">
                <w:pPr>
                  <w:spacing w:after="120"/>
                </w:pPr>
                <w:r>
                  <w:t>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1736" w:rsidP="00C45D9D">
                <w:pPr>
                  <w:spacing w:after="120"/>
                </w:pPr>
                <w:r>
                  <w:t>2202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 xml:space="preserve">Soft drinks and other </w:t>
                </w:r>
                <w:proofErr w:type="spellStart"/>
                <w:r>
                  <w:t>flavoured</w:t>
                </w:r>
                <w:proofErr w:type="spellEnd"/>
                <w:r>
                  <w:t xml:space="preserve"> waters</w:t>
                </w:r>
              </w:p>
            </w:tc>
            <w:tc>
              <w:tcPr>
                <w:tcW w:w="1980" w:type="dxa"/>
              </w:tcPr>
              <w:p w:rsidR="004469A9" w:rsidRDefault="00F61736" w:rsidP="00C45D9D">
                <w:pPr>
                  <w:spacing w:after="120"/>
                </w:pPr>
                <w:r>
                  <w:t>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1736" w:rsidP="00C45D9D">
                <w:pPr>
                  <w:spacing w:after="120"/>
                </w:pPr>
                <w:r>
                  <w:t>2203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>Beer made from malt</w:t>
                </w:r>
              </w:p>
            </w:tc>
            <w:tc>
              <w:tcPr>
                <w:tcW w:w="1980" w:type="dxa"/>
              </w:tcPr>
              <w:p w:rsidR="004469A9" w:rsidRDefault="000B2CA4" w:rsidP="00C45D9D">
                <w:pPr>
                  <w:spacing w:after="120"/>
                </w:pPr>
                <w:r>
                  <w:t>5</w:t>
                </w:r>
                <w:r w:rsidR="00F61736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1736" w:rsidP="00C45D9D">
                <w:pPr>
                  <w:spacing w:after="120"/>
                </w:pPr>
                <w:r>
                  <w:t>2204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>Wine of fresh grapes, including fortified wines; grape (other than unfermented grape)</w:t>
                </w:r>
              </w:p>
            </w:tc>
            <w:tc>
              <w:tcPr>
                <w:tcW w:w="1980" w:type="dxa"/>
              </w:tcPr>
              <w:p w:rsidR="004469A9" w:rsidRDefault="000B2CA4" w:rsidP="00C45D9D">
                <w:pPr>
                  <w:spacing w:after="120"/>
                </w:pPr>
                <w:r>
                  <w:t>5</w:t>
                </w:r>
                <w:r w:rsidR="00F61736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1736" w:rsidP="00C45D9D">
                <w:pPr>
                  <w:spacing w:after="120"/>
                </w:pPr>
                <w:r>
                  <w:t>2205</w:t>
                </w:r>
              </w:p>
            </w:tc>
            <w:tc>
              <w:tcPr>
                <w:tcW w:w="5580" w:type="dxa"/>
              </w:tcPr>
              <w:p w:rsidR="004469A9" w:rsidRDefault="00F61736" w:rsidP="00C45D9D">
                <w:pPr>
                  <w:spacing w:after="120"/>
                </w:pPr>
                <w:r>
                  <w:t xml:space="preserve">Vermouth and other wines </w:t>
                </w:r>
                <w:proofErr w:type="gramStart"/>
                <w:r>
                  <w:t>of  fresh</w:t>
                </w:r>
                <w:proofErr w:type="gramEnd"/>
                <w:r>
                  <w:t xml:space="preserve"> grapes</w:t>
                </w:r>
                <w:r w:rsidR="000470F2">
                  <w:t xml:space="preserve"> </w:t>
                </w:r>
                <w:proofErr w:type="spellStart"/>
                <w:r w:rsidR="000470F2">
                  <w:t>flavoured</w:t>
                </w:r>
                <w:proofErr w:type="spellEnd"/>
                <w:r w:rsidR="000470F2">
                  <w:t xml:space="preserve"> with plants or aromatic substances</w:t>
                </w:r>
              </w:p>
            </w:tc>
            <w:tc>
              <w:tcPr>
                <w:tcW w:w="1980" w:type="dxa"/>
              </w:tcPr>
              <w:p w:rsidR="004469A9" w:rsidRDefault="000B2CA4" w:rsidP="00C45D9D">
                <w:pPr>
                  <w:spacing w:after="120"/>
                </w:pPr>
                <w:r>
                  <w:t>5</w:t>
                </w:r>
                <w:r w:rsidR="000470F2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0470F2" w:rsidP="00C45D9D">
                <w:pPr>
                  <w:spacing w:after="120"/>
                </w:pPr>
                <w:r>
                  <w:t>2206</w:t>
                </w:r>
              </w:p>
            </w:tc>
            <w:tc>
              <w:tcPr>
                <w:tcW w:w="5580" w:type="dxa"/>
              </w:tcPr>
              <w:p w:rsidR="004469A9" w:rsidRDefault="000470F2" w:rsidP="00C45D9D">
                <w:pPr>
                  <w:spacing w:after="120"/>
                </w:pPr>
                <w:r>
                  <w:t>Other fermented beverages (including cider, prune wine, rice wine, sake, sherry, and mead)</w:t>
                </w:r>
              </w:p>
            </w:tc>
            <w:tc>
              <w:tcPr>
                <w:tcW w:w="1980" w:type="dxa"/>
              </w:tcPr>
              <w:p w:rsidR="004469A9" w:rsidRDefault="000B2CA4" w:rsidP="00C45D9D">
                <w:pPr>
                  <w:spacing w:after="120"/>
                </w:pPr>
                <w:r>
                  <w:t>5</w:t>
                </w:r>
                <w:r w:rsidR="000470F2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E065D0" w:rsidP="000470F2">
                <w:pPr>
                  <w:spacing w:after="120"/>
                </w:pPr>
                <w:r>
                  <w:t xml:space="preserve"> </w:t>
                </w:r>
                <w:r w:rsidR="00C45D9D">
                  <w:t xml:space="preserve">  </w:t>
                </w:r>
                <w:r w:rsidR="000470F2">
                  <w:t>2207.10.30</w:t>
                </w:r>
              </w:p>
            </w:tc>
            <w:tc>
              <w:tcPr>
                <w:tcW w:w="5580" w:type="dxa"/>
              </w:tcPr>
              <w:p w:rsidR="004469A9" w:rsidRDefault="000470F2" w:rsidP="000470F2">
                <w:pPr>
                  <w:spacing w:after="120"/>
                </w:pPr>
                <w:r>
                  <w:t>Indentured ethyl alcohol of an alcoholic strength by volume of 80 percent volume or higher for beverage purposes</w:t>
                </w:r>
              </w:p>
            </w:tc>
            <w:tc>
              <w:tcPr>
                <w:tcW w:w="1980" w:type="dxa"/>
              </w:tcPr>
              <w:p w:rsidR="004469A9" w:rsidRDefault="000B2CA4" w:rsidP="000470F2">
                <w:pPr>
                  <w:spacing w:after="120"/>
                </w:pPr>
                <w:r>
                  <w:t>10</w:t>
                </w:r>
                <w:r w:rsidR="000470F2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0470F2" w:rsidP="000470F2">
                <w:pPr>
                  <w:spacing w:after="120"/>
                </w:pPr>
                <w:r>
                  <w:t>2208</w:t>
                </w:r>
              </w:p>
            </w:tc>
            <w:tc>
              <w:tcPr>
                <w:tcW w:w="5580" w:type="dxa"/>
              </w:tcPr>
              <w:p w:rsidR="004469A9" w:rsidRDefault="000470F2" w:rsidP="000470F2">
                <w:pPr>
                  <w:spacing w:after="120"/>
                </w:pPr>
                <w:r>
                  <w:t>Indentured ethyl alcohol of an alcoholic strength by volume of less than 80% volume; spirits, liqueurs and other spirituous beverages; compound alcoholic preparations of a kind used in the manufacture of beverage</w:t>
                </w:r>
              </w:p>
            </w:tc>
            <w:tc>
              <w:tcPr>
                <w:tcW w:w="1980" w:type="dxa"/>
              </w:tcPr>
              <w:p w:rsidR="004469A9" w:rsidRDefault="000B2CA4" w:rsidP="000470F2">
                <w:pPr>
                  <w:spacing w:after="120"/>
                </w:pPr>
                <w:r>
                  <w:t>10</w:t>
                </w:r>
                <w:r w:rsidR="000470F2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0470F2" w:rsidP="000470F2">
                <w:pPr>
                  <w:spacing w:after="120"/>
                </w:pPr>
                <w:r>
                  <w:t>2402</w:t>
                </w:r>
              </w:p>
            </w:tc>
            <w:tc>
              <w:tcPr>
                <w:tcW w:w="5580" w:type="dxa"/>
              </w:tcPr>
              <w:p w:rsidR="004469A9" w:rsidRDefault="000470F2" w:rsidP="000470F2">
                <w:pPr>
                  <w:spacing w:after="120"/>
                </w:pPr>
                <w:r>
                  <w:t>Cigars, cheroots, cigarillos and cigarettes, of tobacco or tobacco substitutes</w:t>
                </w:r>
              </w:p>
            </w:tc>
            <w:tc>
              <w:tcPr>
                <w:tcW w:w="1980" w:type="dxa"/>
              </w:tcPr>
              <w:p w:rsidR="004469A9" w:rsidRDefault="000B2CA4" w:rsidP="000470F2">
                <w:pPr>
                  <w:spacing w:after="120"/>
                </w:pPr>
                <w:r>
                  <w:t>10</w:t>
                </w:r>
                <w:r w:rsidR="000470F2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0470F2" w:rsidP="000470F2">
                <w:pPr>
                  <w:spacing w:after="120"/>
                </w:pPr>
                <w:r>
                  <w:t>2403</w:t>
                </w:r>
              </w:p>
            </w:tc>
            <w:tc>
              <w:tcPr>
                <w:tcW w:w="5580" w:type="dxa"/>
              </w:tcPr>
              <w:p w:rsidR="004469A9" w:rsidRDefault="00911CB4" w:rsidP="000470F2">
                <w:pPr>
                  <w:spacing w:after="120"/>
                </w:pPr>
                <w:r>
                  <w:t>Other manufactured tobacco and manufactured tobacco substitutes; “homogenized” or “reconstituted” tobacco; tobacco extracts and essences</w:t>
                </w:r>
              </w:p>
            </w:tc>
            <w:tc>
              <w:tcPr>
                <w:tcW w:w="1980" w:type="dxa"/>
              </w:tcPr>
              <w:p w:rsidR="004469A9" w:rsidRDefault="000B2CA4" w:rsidP="000470F2">
                <w:pPr>
                  <w:spacing w:after="120"/>
                </w:pPr>
                <w:r>
                  <w:t>10</w:t>
                </w:r>
                <w:r w:rsidR="00911CB4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911CB4" w:rsidP="000470F2">
                <w:pPr>
                  <w:spacing w:after="120"/>
                </w:pPr>
                <w:r>
                  <w:t>2710.00.10, 2710.00.15, or 2710.00.18</w:t>
                </w:r>
              </w:p>
            </w:tc>
            <w:tc>
              <w:tcPr>
                <w:tcW w:w="5580" w:type="dxa"/>
              </w:tcPr>
              <w:p w:rsidR="004469A9" w:rsidRDefault="00911CB4" w:rsidP="000470F2">
                <w:pPr>
                  <w:spacing w:after="120"/>
                </w:pPr>
                <w:r>
                  <w:t>Gasoline, diesel fuel and other petroleum products</w:t>
                </w:r>
              </w:p>
            </w:tc>
            <w:tc>
              <w:tcPr>
                <w:tcW w:w="1980" w:type="dxa"/>
              </w:tcPr>
              <w:p w:rsidR="004469A9" w:rsidRDefault="00911CB4" w:rsidP="000470F2">
                <w:pPr>
                  <w:spacing w:after="120"/>
                </w:pPr>
                <w:r>
                  <w:t>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911CB4" w:rsidP="000470F2">
                <w:pPr>
                  <w:spacing w:after="120"/>
                </w:pPr>
                <w:r>
                  <w:t>8702</w:t>
                </w:r>
              </w:p>
            </w:tc>
            <w:tc>
              <w:tcPr>
                <w:tcW w:w="5580" w:type="dxa"/>
              </w:tcPr>
              <w:p w:rsidR="004469A9" w:rsidRDefault="00911CB4" w:rsidP="000470F2">
                <w:pPr>
                  <w:spacing w:after="120"/>
                </w:pPr>
                <w:r>
                  <w:t>Buses</w:t>
                </w:r>
              </w:p>
            </w:tc>
            <w:tc>
              <w:tcPr>
                <w:tcW w:w="1980" w:type="dxa"/>
              </w:tcPr>
              <w:p w:rsidR="004469A9" w:rsidRDefault="00D07401" w:rsidP="000470F2">
                <w:pPr>
                  <w:spacing w:after="120"/>
                </w:pPr>
                <w:r>
                  <w:t>10%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D07401" w:rsidP="000470F2">
                <w:pPr>
                  <w:spacing w:after="120"/>
                </w:pPr>
                <w:r>
                  <w:t>8703</w:t>
                </w:r>
              </w:p>
            </w:tc>
            <w:tc>
              <w:tcPr>
                <w:tcW w:w="5580" w:type="dxa"/>
              </w:tcPr>
              <w:p w:rsidR="004469A9" w:rsidRDefault="00D07401" w:rsidP="000470F2">
                <w:pPr>
                  <w:spacing w:after="120"/>
                </w:pPr>
                <w:r>
                  <w:t>Motor cars principally designed for the transport of persons</w:t>
                </w:r>
              </w:p>
            </w:tc>
            <w:tc>
              <w:tcPr>
                <w:tcW w:w="1980" w:type="dxa"/>
              </w:tcPr>
              <w:p w:rsidR="004469A9" w:rsidRDefault="00D07401" w:rsidP="000470F2">
                <w:pPr>
                  <w:spacing w:after="120"/>
                </w:pPr>
                <w:r>
                  <w:t>20%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D07401" w:rsidP="000470F2">
                <w:pPr>
                  <w:spacing w:after="120"/>
                </w:pPr>
                <w:r>
                  <w:t>8704</w:t>
                </w:r>
              </w:p>
            </w:tc>
            <w:tc>
              <w:tcPr>
                <w:tcW w:w="5580" w:type="dxa"/>
              </w:tcPr>
              <w:p w:rsidR="004469A9" w:rsidRDefault="00D07401" w:rsidP="000470F2">
                <w:pPr>
                  <w:spacing w:after="120"/>
                </w:pPr>
                <w:r>
                  <w:t>Motor vehicles for the transport of goods</w:t>
                </w:r>
              </w:p>
            </w:tc>
            <w:tc>
              <w:tcPr>
                <w:tcW w:w="1980" w:type="dxa"/>
              </w:tcPr>
              <w:p w:rsidR="004469A9" w:rsidRDefault="00D07401" w:rsidP="000470F2">
                <w:pPr>
                  <w:spacing w:after="120"/>
                </w:pPr>
                <w:r>
                  <w:t>10%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D07401" w:rsidP="000470F2">
                <w:pPr>
                  <w:spacing w:after="120"/>
                </w:pPr>
                <w:r>
                  <w:t>8707</w:t>
                </w:r>
              </w:p>
            </w:tc>
            <w:tc>
              <w:tcPr>
                <w:tcW w:w="5580" w:type="dxa"/>
              </w:tcPr>
              <w:p w:rsidR="004469A9" w:rsidRDefault="00D07401" w:rsidP="000470F2">
                <w:pPr>
                  <w:spacing w:after="120"/>
                </w:pPr>
                <w:r>
                  <w:t>Bodies of cars</w:t>
                </w:r>
              </w:p>
            </w:tc>
            <w:tc>
              <w:tcPr>
                <w:tcW w:w="1980" w:type="dxa"/>
              </w:tcPr>
              <w:p w:rsidR="004469A9" w:rsidRDefault="00D07401" w:rsidP="000470F2">
                <w:pPr>
                  <w:spacing w:after="120"/>
                </w:pPr>
                <w:r>
                  <w:t>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F6049C" w:rsidP="000470F2">
                <w:pPr>
                  <w:spacing w:after="120"/>
                </w:pPr>
                <w:r>
                  <w:t>8711</w:t>
                </w:r>
              </w:p>
            </w:tc>
            <w:tc>
              <w:tcPr>
                <w:tcW w:w="5580" w:type="dxa"/>
              </w:tcPr>
              <w:p w:rsidR="004469A9" w:rsidRDefault="00F6049C" w:rsidP="000470F2">
                <w:pPr>
                  <w:spacing w:after="120"/>
                </w:pPr>
                <w:r>
                  <w:t>Motorcycles</w:t>
                </w:r>
              </w:p>
            </w:tc>
            <w:tc>
              <w:tcPr>
                <w:tcW w:w="1980" w:type="dxa"/>
              </w:tcPr>
              <w:p w:rsidR="004469A9" w:rsidRDefault="00F6049C" w:rsidP="000470F2">
                <w:pPr>
                  <w:spacing w:after="120"/>
                </w:pPr>
                <w:r>
                  <w:t>15%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4469A9" w:rsidP="000470F2">
                <w:pPr>
                  <w:spacing w:after="120"/>
                </w:pPr>
              </w:p>
            </w:tc>
            <w:tc>
              <w:tcPr>
                <w:tcW w:w="5580" w:type="dxa"/>
              </w:tcPr>
              <w:p w:rsidR="004469A9" w:rsidRDefault="00F6049C" w:rsidP="000470F2">
                <w:pPr>
                  <w:spacing w:after="120"/>
                </w:pPr>
                <w:r>
                  <w:t>Air transport services</w:t>
                </w:r>
              </w:p>
            </w:tc>
            <w:tc>
              <w:tcPr>
                <w:tcW w:w="1980" w:type="dxa"/>
              </w:tcPr>
              <w:p w:rsidR="004469A9" w:rsidRDefault="00F6049C" w:rsidP="000B2CA4">
                <w:pPr>
                  <w:spacing w:after="120"/>
                </w:pPr>
                <w:r>
                  <w:t xml:space="preserve">10% 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4469A9" w:rsidP="000470F2">
                <w:pPr>
                  <w:spacing w:after="120"/>
                </w:pPr>
              </w:p>
            </w:tc>
            <w:tc>
              <w:tcPr>
                <w:tcW w:w="5580" w:type="dxa"/>
              </w:tcPr>
              <w:p w:rsidR="004469A9" w:rsidRDefault="00F6049C" w:rsidP="000470F2">
                <w:pPr>
                  <w:spacing w:after="120"/>
                </w:pPr>
                <w:r>
                  <w:t>Charter Services</w:t>
                </w:r>
              </w:p>
            </w:tc>
            <w:tc>
              <w:tcPr>
                <w:tcW w:w="1980" w:type="dxa"/>
              </w:tcPr>
              <w:p w:rsidR="004469A9" w:rsidRDefault="000B2CA4" w:rsidP="000470F2">
                <w:pPr>
                  <w:spacing w:after="120"/>
                </w:pPr>
                <w:r>
                  <w:t>2</w:t>
                </w:r>
                <w:r w:rsidR="00F6049C">
                  <w:t>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4469A9" w:rsidP="000470F2">
                <w:pPr>
                  <w:spacing w:after="120"/>
                </w:pPr>
              </w:p>
            </w:tc>
            <w:tc>
              <w:tcPr>
                <w:tcW w:w="5580" w:type="dxa"/>
              </w:tcPr>
              <w:p w:rsidR="004469A9" w:rsidRDefault="00F6049C" w:rsidP="000470F2">
                <w:pPr>
                  <w:spacing w:after="120"/>
                </w:pPr>
                <w:r>
                  <w:t>Telecommunication Service</w:t>
                </w:r>
              </w:p>
            </w:tc>
            <w:tc>
              <w:tcPr>
                <w:tcW w:w="1980" w:type="dxa"/>
              </w:tcPr>
              <w:p w:rsidR="004469A9" w:rsidRDefault="00F6049C" w:rsidP="000470F2">
                <w:pPr>
                  <w:spacing w:after="120"/>
                </w:pPr>
                <w:r>
                  <w:t>10%</w:t>
                </w:r>
              </w:p>
            </w:tc>
          </w:tr>
          <w:tr w:rsidR="004469A9" w:rsidTr="004469A9">
            <w:tc>
              <w:tcPr>
                <w:tcW w:w="1800" w:type="dxa"/>
              </w:tcPr>
              <w:p w:rsidR="004469A9" w:rsidRDefault="004469A9" w:rsidP="000470F2">
                <w:pPr>
                  <w:spacing w:after="120"/>
                </w:pPr>
              </w:p>
            </w:tc>
            <w:tc>
              <w:tcPr>
                <w:tcW w:w="5580" w:type="dxa"/>
              </w:tcPr>
              <w:p w:rsidR="004469A9" w:rsidRDefault="00F6049C" w:rsidP="000470F2">
                <w:pPr>
                  <w:spacing w:after="120"/>
                </w:pPr>
                <w:r>
                  <w:t>Insurance Premiums</w:t>
                </w:r>
              </w:p>
            </w:tc>
            <w:tc>
              <w:tcPr>
                <w:tcW w:w="1980" w:type="dxa"/>
              </w:tcPr>
              <w:p w:rsidR="004469A9" w:rsidRDefault="00F6049C" w:rsidP="000470F2">
                <w:pPr>
                  <w:spacing w:after="120"/>
                </w:pPr>
                <w:r>
                  <w:t>5%</w:t>
                </w:r>
              </w:p>
            </w:tc>
          </w:tr>
        </w:tbl>
        <w:p w:rsidR="00C45D9D" w:rsidRDefault="00C45D9D" w:rsidP="00C45D9D">
          <w:pPr>
            <w:spacing w:after="120"/>
          </w:pPr>
        </w:p>
        <w:p w:rsidR="00F8658F" w:rsidRDefault="00E93A02" w:rsidP="005B092E">
          <w:pPr>
            <w:spacing w:after="120"/>
          </w:pPr>
        </w:p>
      </w:sdtContent>
    </w:sdt>
    <w:p w:rsidR="007A4F17" w:rsidRPr="007A4F17" w:rsidRDefault="007A4F17" w:rsidP="007A4F17">
      <w:pPr>
        <w:spacing w:after="120"/>
        <w:rPr>
          <w:u w:val="single"/>
        </w:rPr>
      </w:pPr>
      <w:r w:rsidRPr="007A4F17">
        <w:rPr>
          <w:u w:val="single"/>
        </w:rPr>
        <w:t>About the Ministry of Finance &amp; Economic Planning</w:t>
      </w:r>
    </w:p>
    <w:p w:rsidR="007A4F17" w:rsidRPr="007A4F17" w:rsidRDefault="007A4F17" w:rsidP="007A4F17">
      <w:pPr>
        <w:spacing w:after="120"/>
      </w:pPr>
      <w:r w:rsidRPr="007A4F17">
        <w:t>The Republic of Sout</w:t>
      </w:r>
      <w:r>
        <w:t xml:space="preserve">h Sudan Ministry of Finance &amp; </w:t>
      </w:r>
      <w:r w:rsidRPr="007A4F17">
        <w:t xml:space="preserve">Economic Planning </w:t>
      </w:r>
      <w:r>
        <w:t xml:space="preserve">develops and executes </w:t>
      </w:r>
      <w:r w:rsidRPr="007A4F17">
        <w:t>economic, fiscal and investment policies for</w:t>
      </w:r>
      <w:r>
        <w:t xml:space="preserve"> South Sudan. The ministry </w:t>
      </w:r>
      <w:r w:rsidRPr="007A4F17">
        <w:t>ma</w:t>
      </w:r>
      <w:r>
        <w:t>nages the RSS Consolidated Fund,</w:t>
      </w:r>
      <w:r w:rsidRPr="007A4F17">
        <w:t xml:space="preserve"> develops and executes revenue policy for taxes and other sources of revenue </w:t>
      </w:r>
      <w:r>
        <w:t xml:space="preserve">within the purview of RSS, and </w:t>
      </w:r>
      <w:r w:rsidRPr="007A4F17">
        <w:t xml:space="preserve">collects tax </w:t>
      </w:r>
      <w:r w:rsidR="00C039A4">
        <w:t xml:space="preserve">and customs </w:t>
      </w:r>
      <w:r w:rsidRPr="007A4F17">
        <w:t xml:space="preserve">revenues within the purview of RSS. </w:t>
      </w:r>
    </w:p>
    <w:p w:rsidR="00640F15" w:rsidRDefault="0091299D" w:rsidP="00F1325F">
      <w:pPr>
        <w:pStyle w:val="Footer"/>
        <w:spacing w:after="120"/>
        <w:ind w:left="0"/>
        <w:rPr>
          <w:sz w:val="24"/>
        </w:rPr>
      </w:pPr>
      <w:r>
        <w:rPr>
          <w:sz w:val="24"/>
        </w:rPr>
        <w:t># # #</w:t>
      </w:r>
    </w:p>
    <w:p w:rsidR="00FC444F" w:rsidRDefault="00FC444F" w:rsidP="00F1325F">
      <w:pPr>
        <w:pStyle w:val="Footer"/>
        <w:spacing w:after="120"/>
        <w:ind w:left="0"/>
        <w:rPr>
          <w:sz w:val="24"/>
        </w:rPr>
      </w:pPr>
    </w:p>
    <w:p w:rsidR="00FC444F" w:rsidRDefault="00FC444F" w:rsidP="00F1325F">
      <w:pPr>
        <w:pStyle w:val="Footer"/>
        <w:spacing w:after="120"/>
        <w:ind w:left="0"/>
        <w:rPr>
          <w:sz w:val="24"/>
        </w:rPr>
      </w:pPr>
    </w:p>
    <w:p w:rsidR="00FC444F" w:rsidRPr="00FC444F" w:rsidRDefault="007C5D08" w:rsidP="00FC444F">
      <w:pPr>
        <w:pStyle w:val="Footer"/>
        <w:ind w:left="0"/>
        <w:rPr>
          <w:b/>
          <w:sz w:val="24"/>
        </w:rPr>
      </w:pPr>
      <w:r>
        <w:rPr>
          <w:b/>
          <w:sz w:val="24"/>
        </w:rPr>
        <w:t xml:space="preserve">Albino </w:t>
      </w:r>
      <w:proofErr w:type="spellStart"/>
      <w:r>
        <w:rPr>
          <w:b/>
          <w:sz w:val="24"/>
        </w:rPr>
        <w:t>Chol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Thiik</w:t>
      </w:r>
      <w:proofErr w:type="spellEnd"/>
    </w:p>
    <w:p w:rsidR="00FC444F" w:rsidRPr="00FC444F" w:rsidRDefault="007C5D08" w:rsidP="00FC444F">
      <w:pPr>
        <w:pStyle w:val="Footer"/>
        <w:ind w:left="0"/>
        <w:rPr>
          <w:b/>
          <w:sz w:val="24"/>
        </w:rPr>
      </w:pPr>
      <w:r>
        <w:rPr>
          <w:b/>
          <w:sz w:val="24"/>
        </w:rPr>
        <w:t>Director General of Taxation</w:t>
      </w:r>
      <w:bookmarkStart w:id="0" w:name="_GoBack"/>
      <w:bookmarkEnd w:id="0"/>
    </w:p>
    <w:p w:rsidR="00FC444F" w:rsidRPr="00FC444F" w:rsidRDefault="00FC444F" w:rsidP="00FC444F">
      <w:pPr>
        <w:pStyle w:val="Footer"/>
        <w:ind w:left="0"/>
        <w:rPr>
          <w:b/>
          <w:sz w:val="24"/>
        </w:rPr>
      </w:pPr>
      <w:r w:rsidRPr="00FC444F">
        <w:rPr>
          <w:b/>
          <w:sz w:val="24"/>
        </w:rPr>
        <w:t>Ministry of Finance and Economic Planning</w:t>
      </w:r>
    </w:p>
    <w:p w:rsidR="00FC444F" w:rsidRPr="00FC444F" w:rsidRDefault="00FC444F" w:rsidP="00FC444F">
      <w:pPr>
        <w:pStyle w:val="Footer"/>
        <w:ind w:left="0"/>
        <w:rPr>
          <w:b/>
          <w:sz w:val="24"/>
        </w:rPr>
      </w:pPr>
      <w:r w:rsidRPr="00FC444F">
        <w:rPr>
          <w:b/>
          <w:sz w:val="24"/>
        </w:rPr>
        <w:t>MoFEP/RSS - Juba</w:t>
      </w:r>
    </w:p>
    <w:sectPr w:rsidR="00FC444F" w:rsidRPr="00FC444F" w:rsidSect="00545E9E">
      <w:pgSz w:w="12240" w:h="15840"/>
      <w:pgMar w:top="1584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2" w:rsidRDefault="00E93A02">
      <w:pPr>
        <w:spacing w:after="0" w:line="240" w:lineRule="auto"/>
      </w:pPr>
      <w:r>
        <w:separator/>
      </w:r>
    </w:p>
  </w:endnote>
  <w:endnote w:type="continuationSeparator" w:id="0">
    <w:p w:rsidR="00E93A02" w:rsidRDefault="00E9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F2" w:rsidRPr="00550759" w:rsidRDefault="000470F2" w:rsidP="007C1FF2">
    <w:pPr>
      <w:pStyle w:val="Footer"/>
      <w:ind w:left="0"/>
      <w:jc w:val="center"/>
      <w:rPr>
        <w:i/>
      </w:rPr>
    </w:pPr>
    <w:r w:rsidRPr="00550759">
      <w:rPr>
        <w:i/>
      </w:rPr>
      <w:t>For more i</w:t>
    </w:r>
    <w:r>
      <w:rPr>
        <w:i/>
      </w:rPr>
      <w:t xml:space="preserve">nformation contact Thomas Kenneth, Media Liaison Officer, Office of the President, </w:t>
    </w:r>
    <w:r w:rsidRPr="00550759">
      <w:rPr>
        <w:i/>
      </w:rPr>
      <w:t>Republic of South Sudan</w:t>
    </w:r>
  </w:p>
  <w:p w:rsidR="000470F2" w:rsidRPr="004B215D" w:rsidRDefault="000470F2" w:rsidP="007C1FF2">
    <w:pPr>
      <w:pStyle w:val="Footer"/>
      <w:ind w:left="0"/>
      <w:jc w:val="center"/>
      <w:rPr>
        <w:i/>
      </w:rPr>
    </w:pPr>
    <w:r>
      <w:rPr>
        <w:i/>
      </w:rPr>
      <w:t>E-mail. j1pressroom@gmail.com</w:t>
    </w:r>
    <w:r w:rsidRPr="00550759">
      <w:rPr>
        <w:i/>
      </w:rPr>
      <w:t xml:space="preserve"> - Mob. +249 955 583 217</w:t>
    </w:r>
  </w:p>
  <w:p w:rsidR="000470F2" w:rsidRDefault="00047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F2" w:rsidRPr="00B54F80" w:rsidRDefault="000470F2" w:rsidP="005C6636">
    <w:pPr>
      <w:pStyle w:val="Header"/>
      <w:tabs>
        <w:tab w:val="clear" w:pos="9360"/>
        <w:tab w:val="left" w:pos="5040"/>
      </w:tabs>
      <w:spacing w:line="276" w:lineRule="auto"/>
      <w:ind w:left="0"/>
      <w:jc w:val="center"/>
      <w:rPr>
        <w:rFonts w:ascii="Cambria" w:hAnsi="Cambria"/>
        <w:spacing w:val="5"/>
        <w:sz w:val="20"/>
        <w:szCs w:val="20"/>
      </w:rPr>
    </w:pPr>
    <w:r w:rsidRPr="00B54F80">
      <w:rPr>
        <w:rFonts w:ascii="Cambria" w:hAnsi="Cambria"/>
        <w:smallCaps/>
        <w:spacing w:val="5"/>
        <w:sz w:val="20"/>
        <w:szCs w:val="20"/>
      </w:rPr>
      <w:t>Republic of South Sudan</w:t>
    </w:r>
    <w:r w:rsidRPr="00B54F80">
      <w:rPr>
        <w:rFonts w:ascii="Cambria" w:hAnsi="Cambria"/>
        <w:spacing w:val="5"/>
        <w:sz w:val="20"/>
        <w:szCs w:val="20"/>
      </w:rPr>
      <w:t xml:space="preserve"> - </w:t>
    </w:r>
    <w:r w:rsidRPr="00B54F80">
      <w:rPr>
        <w:rFonts w:ascii="Cambria" w:hAnsi="Cambria"/>
        <w:smallCaps/>
        <w:spacing w:val="5"/>
        <w:sz w:val="20"/>
        <w:szCs w:val="20"/>
      </w:rPr>
      <w:t>Ministry of Finance &amp; Economic Planning</w:t>
    </w:r>
  </w:p>
  <w:sdt>
    <w:sdtPr>
      <w:id w:val="132331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0F2" w:rsidRPr="005C6636" w:rsidRDefault="0099313A" w:rsidP="005C6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2" w:rsidRDefault="00E93A02">
      <w:pPr>
        <w:spacing w:after="0" w:line="240" w:lineRule="auto"/>
      </w:pPr>
      <w:r>
        <w:separator/>
      </w:r>
    </w:p>
  </w:footnote>
  <w:footnote w:type="continuationSeparator" w:id="0">
    <w:p w:rsidR="00E93A02" w:rsidRDefault="00E9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F2" w:rsidRDefault="000470F2" w:rsidP="007C1F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F"/>
    <w:rsid w:val="00026624"/>
    <w:rsid w:val="00043E97"/>
    <w:rsid w:val="000470F2"/>
    <w:rsid w:val="0005671B"/>
    <w:rsid w:val="0006058A"/>
    <w:rsid w:val="000716A1"/>
    <w:rsid w:val="000B2CA4"/>
    <w:rsid w:val="000B3E8E"/>
    <w:rsid w:val="00132331"/>
    <w:rsid w:val="00147D48"/>
    <w:rsid w:val="001652BD"/>
    <w:rsid w:val="001661BE"/>
    <w:rsid w:val="00187840"/>
    <w:rsid w:val="00192E1F"/>
    <w:rsid w:val="001A75F0"/>
    <w:rsid w:val="001C30D3"/>
    <w:rsid w:val="001E48A2"/>
    <w:rsid w:val="001F736D"/>
    <w:rsid w:val="00204DBE"/>
    <w:rsid w:val="00204E6D"/>
    <w:rsid w:val="00222670"/>
    <w:rsid w:val="00240D08"/>
    <w:rsid w:val="002412E3"/>
    <w:rsid w:val="002506E0"/>
    <w:rsid w:val="00263B51"/>
    <w:rsid w:val="002A6D90"/>
    <w:rsid w:val="002D0325"/>
    <w:rsid w:val="002D540E"/>
    <w:rsid w:val="002E542F"/>
    <w:rsid w:val="002F262C"/>
    <w:rsid w:val="002F3AC8"/>
    <w:rsid w:val="003059EC"/>
    <w:rsid w:val="00341CB2"/>
    <w:rsid w:val="00342997"/>
    <w:rsid w:val="00361FFC"/>
    <w:rsid w:val="003956B6"/>
    <w:rsid w:val="003A4F46"/>
    <w:rsid w:val="003B14EC"/>
    <w:rsid w:val="003C0853"/>
    <w:rsid w:val="003C2CFF"/>
    <w:rsid w:val="003D3E41"/>
    <w:rsid w:val="003D43B4"/>
    <w:rsid w:val="00445F3D"/>
    <w:rsid w:val="004469A9"/>
    <w:rsid w:val="0046165C"/>
    <w:rsid w:val="004653D7"/>
    <w:rsid w:val="0047190C"/>
    <w:rsid w:val="00485E7C"/>
    <w:rsid w:val="004878ED"/>
    <w:rsid w:val="004B4B9D"/>
    <w:rsid w:val="005062A5"/>
    <w:rsid w:val="00545E9E"/>
    <w:rsid w:val="0055318C"/>
    <w:rsid w:val="005630E2"/>
    <w:rsid w:val="00564C0B"/>
    <w:rsid w:val="0059340C"/>
    <w:rsid w:val="005B092E"/>
    <w:rsid w:val="005C0BF4"/>
    <w:rsid w:val="005C6636"/>
    <w:rsid w:val="005F4B59"/>
    <w:rsid w:val="00630B80"/>
    <w:rsid w:val="0063150A"/>
    <w:rsid w:val="00640F15"/>
    <w:rsid w:val="00670300"/>
    <w:rsid w:val="006D49CC"/>
    <w:rsid w:val="006D5518"/>
    <w:rsid w:val="00700BE2"/>
    <w:rsid w:val="00714CA2"/>
    <w:rsid w:val="00726032"/>
    <w:rsid w:val="00746AA1"/>
    <w:rsid w:val="0074782F"/>
    <w:rsid w:val="00773796"/>
    <w:rsid w:val="007772CC"/>
    <w:rsid w:val="0079299C"/>
    <w:rsid w:val="007A20F6"/>
    <w:rsid w:val="007A4F17"/>
    <w:rsid w:val="007C1FF2"/>
    <w:rsid w:val="007C3E47"/>
    <w:rsid w:val="007C5D08"/>
    <w:rsid w:val="007D4604"/>
    <w:rsid w:val="007E139D"/>
    <w:rsid w:val="007F6DE7"/>
    <w:rsid w:val="0080025B"/>
    <w:rsid w:val="008006BB"/>
    <w:rsid w:val="00800D24"/>
    <w:rsid w:val="00811141"/>
    <w:rsid w:val="00840602"/>
    <w:rsid w:val="0084127D"/>
    <w:rsid w:val="00846199"/>
    <w:rsid w:val="00847895"/>
    <w:rsid w:val="00852C0E"/>
    <w:rsid w:val="00861974"/>
    <w:rsid w:val="0086349D"/>
    <w:rsid w:val="008B086D"/>
    <w:rsid w:val="008B20EF"/>
    <w:rsid w:val="008E188A"/>
    <w:rsid w:val="00900376"/>
    <w:rsid w:val="00911CB4"/>
    <w:rsid w:val="0091299D"/>
    <w:rsid w:val="00941988"/>
    <w:rsid w:val="0097411E"/>
    <w:rsid w:val="00982E7E"/>
    <w:rsid w:val="0099313A"/>
    <w:rsid w:val="00995750"/>
    <w:rsid w:val="009A2AE1"/>
    <w:rsid w:val="00A023A6"/>
    <w:rsid w:val="00A0326A"/>
    <w:rsid w:val="00A03DF1"/>
    <w:rsid w:val="00A169C8"/>
    <w:rsid w:val="00A33886"/>
    <w:rsid w:val="00A53DA2"/>
    <w:rsid w:val="00A60AEB"/>
    <w:rsid w:val="00A701CC"/>
    <w:rsid w:val="00A771A9"/>
    <w:rsid w:val="00A90B1A"/>
    <w:rsid w:val="00AD7220"/>
    <w:rsid w:val="00AE41F8"/>
    <w:rsid w:val="00B33A02"/>
    <w:rsid w:val="00B41701"/>
    <w:rsid w:val="00B56426"/>
    <w:rsid w:val="00B64CDD"/>
    <w:rsid w:val="00B66935"/>
    <w:rsid w:val="00B90543"/>
    <w:rsid w:val="00BB0CB3"/>
    <w:rsid w:val="00BB4529"/>
    <w:rsid w:val="00BE62F0"/>
    <w:rsid w:val="00BF07BB"/>
    <w:rsid w:val="00C039A4"/>
    <w:rsid w:val="00C06F44"/>
    <w:rsid w:val="00C10704"/>
    <w:rsid w:val="00C13286"/>
    <w:rsid w:val="00C45D9D"/>
    <w:rsid w:val="00C516DC"/>
    <w:rsid w:val="00C741F4"/>
    <w:rsid w:val="00C76B53"/>
    <w:rsid w:val="00C93331"/>
    <w:rsid w:val="00CC0294"/>
    <w:rsid w:val="00CD0BFE"/>
    <w:rsid w:val="00CE1019"/>
    <w:rsid w:val="00CF5097"/>
    <w:rsid w:val="00D0645D"/>
    <w:rsid w:val="00D07401"/>
    <w:rsid w:val="00D33B55"/>
    <w:rsid w:val="00D5188D"/>
    <w:rsid w:val="00D95182"/>
    <w:rsid w:val="00DD70C4"/>
    <w:rsid w:val="00DE25C1"/>
    <w:rsid w:val="00E065D0"/>
    <w:rsid w:val="00E0798D"/>
    <w:rsid w:val="00E82687"/>
    <w:rsid w:val="00E8742A"/>
    <w:rsid w:val="00E9257D"/>
    <w:rsid w:val="00E93A02"/>
    <w:rsid w:val="00E945D7"/>
    <w:rsid w:val="00EF0264"/>
    <w:rsid w:val="00F1325F"/>
    <w:rsid w:val="00F24EBD"/>
    <w:rsid w:val="00F254A0"/>
    <w:rsid w:val="00F6049C"/>
    <w:rsid w:val="00F61736"/>
    <w:rsid w:val="00F8658F"/>
    <w:rsid w:val="00F86757"/>
    <w:rsid w:val="00F91D0E"/>
    <w:rsid w:val="00FA6CA2"/>
    <w:rsid w:val="00FC444F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66556"/>
  <w15:docId w15:val="{272A597A-BF0D-46E7-8A4E-A514517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rsid w:val="00B33A02"/>
    <w:pPr>
      <w:spacing w:before="800" w:after="0" w:line="240" w:lineRule="auto"/>
      <w:ind w:left="835"/>
    </w:pPr>
    <w:rPr>
      <w:rFonts w:ascii="Corbel" w:eastAsiaTheme="minorHAnsi" w:hAnsi="Corbel" w:cs="Times New Roman"/>
      <w:b/>
      <w:bCs/>
      <w:color w:val="7F7F7F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4"/>
    <w:rsid w:val="00B33A02"/>
    <w:rPr>
      <w:rFonts w:ascii="Corbel" w:eastAsiaTheme="minorHAnsi" w:hAnsi="Corbel" w:cs="Times New Roman"/>
      <w:b/>
      <w:bCs/>
      <w:color w:val="7F7F7F"/>
      <w:sz w:val="120"/>
      <w:szCs w:val="120"/>
    </w:rPr>
  </w:style>
  <w:style w:type="paragraph" w:styleId="Header">
    <w:name w:val="header"/>
    <w:basedOn w:val="Normal"/>
    <w:link w:val="HeaderChar"/>
    <w:uiPriority w:val="99"/>
    <w:unhideWhenUsed/>
    <w:rsid w:val="00B33A02"/>
    <w:pPr>
      <w:tabs>
        <w:tab w:val="center" w:pos="4680"/>
        <w:tab w:val="right" w:pos="9360"/>
      </w:tabs>
      <w:spacing w:after="0" w:line="240" w:lineRule="auto"/>
      <w:ind w:left="835"/>
    </w:pPr>
    <w:rPr>
      <w:rFonts w:ascii="Corbel" w:eastAsiaTheme="minorHAnsi" w:hAnsi="Corbel" w:cs="Times New Roman"/>
      <w:spacing w:val="-5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3A02"/>
    <w:rPr>
      <w:rFonts w:ascii="Corbel" w:eastAsiaTheme="minorHAnsi" w:hAnsi="Corbel" w:cs="Times New Roman"/>
      <w:spacing w:val="-5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3A02"/>
    <w:pPr>
      <w:tabs>
        <w:tab w:val="center" w:pos="4680"/>
        <w:tab w:val="right" w:pos="9360"/>
      </w:tabs>
      <w:spacing w:after="0" w:line="240" w:lineRule="auto"/>
      <w:ind w:left="835"/>
    </w:pPr>
    <w:rPr>
      <w:rFonts w:ascii="Corbel" w:eastAsiaTheme="minorHAnsi" w:hAnsi="Corbel" w:cs="Times New Roman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A02"/>
    <w:rPr>
      <w:rFonts w:ascii="Corbel" w:eastAsiaTheme="minorHAnsi" w:hAnsi="Corbel" w:cs="Times New Roman"/>
      <w:spacing w:val="-5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33A02"/>
    <w:pPr>
      <w:spacing w:line="240" w:lineRule="auto"/>
      <w:ind w:left="835"/>
    </w:pPr>
    <w:rPr>
      <w:rFonts w:ascii="Corbel" w:eastAsiaTheme="minorHAnsi" w:hAnsi="Corbel" w:cs="Times New Roman"/>
      <w:b/>
      <w:bCs/>
      <w:color w:val="4F81BD" w:themeColor="accent1"/>
      <w:spacing w:val="-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B5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D70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0C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878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lins\Desktop\April\OOP%20Press%20Release%20TEMPLATE%20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1EEB18C5342879033473521AB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3A77-17BB-429E-B6C5-D213C194A3BF}"/>
      </w:docPartPr>
      <w:docPartBody>
        <w:p w:rsidR="00E36809" w:rsidRDefault="00473A0D">
          <w:pPr>
            <w:pStyle w:val="1801EEB18C5342879033473521AB7E94"/>
          </w:pPr>
          <w:r w:rsidRPr="004808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3A0D"/>
    <w:rsid w:val="00100508"/>
    <w:rsid w:val="00130992"/>
    <w:rsid w:val="00141F23"/>
    <w:rsid w:val="00152DAA"/>
    <w:rsid w:val="001642F2"/>
    <w:rsid w:val="001A06D1"/>
    <w:rsid w:val="001D7F37"/>
    <w:rsid w:val="002C0159"/>
    <w:rsid w:val="003D75E7"/>
    <w:rsid w:val="00473A0D"/>
    <w:rsid w:val="005838A3"/>
    <w:rsid w:val="00616644"/>
    <w:rsid w:val="006D78DF"/>
    <w:rsid w:val="00734D1D"/>
    <w:rsid w:val="007714E0"/>
    <w:rsid w:val="0079568F"/>
    <w:rsid w:val="007B487D"/>
    <w:rsid w:val="007F73B1"/>
    <w:rsid w:val="008232F0"/>
    <w:rsid w:val="008B1EBF"/>
    <w:rsid w:val="00944909"/>
    <w:rsid w:val="0096560F"/>
    <w:rsid w:val="00BA624F"/>
    <w:rsid w:val="00BE467B"/>
    <w:rsid w:val="00C31A07"/>
    <w:rsid w:val="00DC68E6"/>
    <w:rsid w:val="00E36809"/>
    <w:rsid w:val="00EC2B69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24F"/>
    <w:rPr>
      <w:color w:val="808080"/>
    </w:rPr>
  </w:style>
  <w:style w:type="paragraph" w:customStyle="1" w:styleId="1801EEB18C5342879033473521AB7E94">
    <w:name w:val="1801EEB18C5342879033473521AB7E94"/>
    <w:rsid w:val="00BA6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A936-6167-4FAE-8F35-060AA24C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OOP Press Release TEMPLATE 2.0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Timothy</dc:creator>
  <cp:lastModifiedBy>Stan Beesley</cp:lastModifiedBy>
  <cp:revision>2</cp:revision>
  <cp:lastPrinted>2013-01-25T06:17:00Z</cp:lastPrinted>
  <dcterms:created xsi:type="dcterms:W3CDTF">2016-03-21T13:44:00Z</dcterms:created>
  <dcterms:modified xsi:type="dcterms:W3CDTF">2016-03-21T13:44:00Z</dcterms:modified>
</cp:coreProperties>
</file>